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lang w:val="ru-RU"/>
        </w:rPr>
        <w:t>Теоретическая</w:t>
      </w:r>
      <w:r>
        <w:rPr>
          <w:rFonts w:hint="default"/>
          <w:lang w:val="ru-RU"/>
        </w:rPr>
        <w:t xml:space="preserve"> подготовка ПДД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Закон о сохранении гражданской ответственности владельцев транспортного средства (ОСАГО-КАСКО)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Страховой случай. Основание и порядок выплаты страховой суммы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Заполнение бланка извещения о дорожно-транспортно</w:t>
      </w:r>
      <w:bookmarkStart w:id="0" w:name="_GoBack"/>
      <w:bookmarkEnd w:id="0"/>
      <w:r>
        <w:rPr>
          <w:rFonts w:hint="default"/>
          <w:lang w:val="ru-RU"/>
        </w:rPr>
        <w:t xml:space="preserve">м происшествии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E7C078"/>
    <w:multiLevelType w:val="singleLevel"/>
    <w:tmpl w:val="AEE7C078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20A1"/>
    <w:rsid w:val="3B6B7E26"/>
    <w:rsid w:val="5A2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2020-03-27T06:47:00Z</dcterms:created>
  <dc:creator>user</dc:creator>
  <cp:lastModifiedBy>user</cp:lastModifiedBy>
  <dcterms:modified xsi:type="dcterms:W3CDTF">2020-03-27T07:01:27Z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